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D2C7C6" w14:textId="77777777" w:rsidR="003168ED" w:rsidRPr="003D5732" w:rsidRDefault="003168ED" w:rsidP="0050260D">
      <w:pPr>
        <w:pStyle w:val="Default"/>
        <w:ind w:firstLine="708"/>
        <w:jc w:val="both"/>
        <w:rPr>
          <w:color w:val="000000" w:themeColor="text1"/>
        </w:rPr>
      </w:pPr>
    </w:p>
    <w:p w14:paraId="331D5A40" w14:textId="77777777" w:rsidR="003168ED" w:rsidRPr="003D5732" w:rsidRDefault="003168ED" w:rsidP="0050260D">
      <w:pPr>
        <w:pStyle w:val="Default"/>
        <w:ind w:firstLine="708"/>
        <w:jc w:val="both"/>
        <w:rPr>
          <w:color w:val="000000" w:themeColor="text1"/>
        </w:rPr>
      </w:pPr>
    </w:p>
    <w:p w14:paraId="5A55BFB0" w14:textId="77777777" w:rsidR="003168ED" w:rsidRPr="003D5732" w:rsidRDefault="003168ED" w:rsidP="003168ED">
      <w:pPr>
        <w:rPr>
          <w:b/>
          <w:color w:val="000000" w:themeColor="text1"/>
        </w:rPr>
      </w:pPr>
      <w:r w:rsidRPr="003D5732">
        <w:rPr>
          <w:color w:val="000000" w:themeColor="text1"/>
        </w:rPr>
        <w:t xml:space="preserve">     </w:t>
      </w:r>
      <w:r w:rsidRPr="003D5732">
        <w:rPr>
          <w:b/>
          <w:color w:val="000000" w:themeColor="text1"/>
        </w:rPr>
        <w:t xml:space="preserve">             </w:t>
      </w:r>
      <w:r w:rsidRPr="003D5732">
        <w:rPr>
          <w:b/>
          <w:noProof/>
          <w:color w:val="000000" w:themeColor="text1"/>
        </w:rPr>
        <w:drawing>
          <wp:inline distT="0" distB="0" distL="0" distR="0" wp14:anchorId="500C36B8" wp14:editId="7F9C194B">
            <wp:extent cx="304800" cy="447675"/>
            <wp:effectExtent l="0" t="0" r="0" b="0"/>
            <wp:docPr id="1" name="Picture 1" descr="http://narodne-novine.nn.hr/images/grb-r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rodne-novine.nn.hr/images/grb-r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79B81" w14:textId="77777777" w:rsidR="003168ED" w:rsidRPr="003D5732" w:rsidRDefault="003168ED" w:rsidP="003168ED">
      <w:pPr>
        <w:tabs>
          <w:tab w:val="left" w:pos="567"/>
        </w:tabs>
        <w:rPr>
          <w:b/>
          <w:color w:val="000000" w:themeColor="text1"/>
        </w:rPr>
      </w:pPr>
      <w:r w:rsidRPr="003D5732">
        <w:rPr>
          <w:b/>
          <w:color w:val="000000" w:themeColor="text1"/>
        </w:rPr>
        <w:t>REPUBLIKA HRVATSKA</w:t>
      </w:r>
    </w:p>
    <w:p w14:paraId="07057DA2" w14:textId="77777777" w:rsidR="003168ED" w:rsidRPr="003D5732" w:rsidRDefault="003168ED" w:rsidP="003168ED">
      <w:pPr>
        <w:rPr>
          <w:b/>
          <w:color w:val="000000" w:themeColor="text1"/>
        </w:rPr>
      </w:pPr>
      <w:r w:rsidRPr="003D5732">
        <w:rPr>
          <w:b/>
          <w:color w:val="000000" w:themeColor="text1"/>
        </w:rPr>
        <w:t>LIČKO-SENJSKA ŽUPANIJA</w:t>
      </w:r>
    </w:p>
    <w:p w14:paraId="78B15430" w14:textId="77777777" w:rsidR="003168ED" w:rsidRPr="003D5732" w:rsidRDefault="003168ED" w:rsidP="003168ED">
      <w:pPr>
        <w:rPr>
          <w:b/>
          <w:color w:val="000000" w:themeColor="text1"/>
        </w:rPr>
      </w:pPr>
      <w:r w:rsidRPr="003D5732">
        <w:rPr>
          <w:b/>
          <w:color w:val="000000" w:themeColor="text1"/>
        </w:rPr>
        <w:t>OPĆINA BRINJE</w:t>
      </w:r>
    </w:p>
    <w:p w14:paraId="45F7B950" w14:textId="77777777" w:rsidR="003168ED" w:rsidRPr="003D5732" w:rsidRDefault="003168ED" w:rsidP="003168ED">
      <w:pPr>
        <w:rPr>
          <w:b/>
          <w:color w:val="000000" w:themeColor="text1"/>
        </w:rPr>
      </w:pPr>
      <w:r w:rsidRPr="003D5732">
        <w:rPr>
          <w:b/>
          <w:color w:val="000000" w:themeColor="text1"/>
        </w:rPr>
        <w:t>OPĆINSKO VIJEĆE</w:t>
      </w:r>
    </w:p>
    <w:p w14:paraId="4B8CFFEA" w14:textId="77777777" w:rsidR="003168ED" w:rsidRPr="003D5732" w:rsidRDefault="003168ED" w:rsidP="003168ED">
      <w:pPr>
        <w:rPr>
          <w:bCs/>
          <w:color w:val="000000" w:themeColor="text1"/>
        </w:rPr>
      </w:pPr>
      <w:r w:rsidRPr="003D5732">
        <w:rPr>
          <w:bCs/>
          <w:color w:val="000000" w:themeColor="text1"/>
        </w:rPr>
        <w:t xml:space="preserve">                                                                            </w:t>
      </w:r>
    </w:p>
    <w:p w14:paraId="7B428347" w14:textId="77777777" w:rsidR="003168ED" w:rsidRPr="003D5732" w:rsidRDefault="003168ED" w:rsidP="003168ED">
      <w:pPr>
        <w:rPr>
          <w:color w:val="000000" w:themeColor="text1"/>
        </w:rPr>
      </w:pPr>
      <w:r w:rsidRPr="003D5732">
        <w:rPr>
          <w:color w:val="000000" w:themeColor="text1"/>
        </w:rPr>
        <w:t xml:space="preserve">KLASA: </w:t>
      </w:r>
    </w:p>
    <w:p w14:paraId="41B341BD" w14:textId="77777777" w:rsidR="003168ED" w:rsidRPr="003D5732" w:rsidRDefault="003168ED" w:rsidP="003168ED">
      <w:pPr>
        <w:rPr>
          <w:color w:val="000000" w:themeColor="text1"/>
        </w:rPr>
      </w:pPr>
      <w:r w:rsidRPr="003D5732">
        <w:rPr>
          <w:color w:val="000000" w:themeColor="text1"/>
        </w:rPr>
        <w:t xml:space="preserve">URBROJ: </w:t>
      </w:r>
    </w:p>
    <w:p w14:paraId="0E4BB718" w14:textId="77777777" w:rsidR="003168ED" w:rsidRPr="003D5732" w:rsidRDefault="003168ED" w:rsidP="003168ED">
      <w:pPr>
        <w:rPr>
          <w:bCs/>
          <w:color w:val="000000" w:themeColor="text1"/>
        </w:rPr>
      </w:pPr>
      <w:r w:rsidRPr="003D5732">
        <w:rPr>
          <w:bCs/>
          <w:color w:val="000000" w:themeColor="text1"/>
        </w:rPr>
        <w:t xml:space="preserve">Brinje, _________ 2025.      </w:t>
      </w:r>
    </w:p>
    <w:p w14:paraId="14EDCEBF" w14:textId="5F7E6092" w:rsidR="003168ED" w:rsidRPr="003D5732" w:rsidRDefault="003168ED" w:rsidP="003168ED">
      <w:pPr>
        <w:rPr>
          <w:bCs/>
          <w:color w:val="000000" w:themeColor="text1"/>
        </w:rPr>
      </w:pPr>
      <w:r w:rsidRPr="003D5732">
        <w:rPr>
          <w:bCs/>
          <w:color w:val="000000" w:themeColor="text1"/>
        </w:rPr>
        <w:t xml:space="preserve">                                                      </w:t>
      </w:r>
    </w:p>
    <w:p w14:paraId="393629A4" w14:textId="7C339BFC" w:rsidR="003168ED" w:rsidRPr="003D5732" w:rsidRDefault="003168ED" w:rsidP="003168ED">
      <w:pPr>
        <w:pStyle w:val="Default"/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Na temelju članka 20., članka 41. stavak 4. i članka 42. stavak 1. Zakona o lokalnim porezima (Narodne novine, broj 115/16, 101/17 , 114/22, 114/23 i 152/24)</w:t>
      </w:r>
      <w:r w:rsidRPr="003D5732">
        <w:rPr>
          <w:rFonts w:eastAsia="Times New Roman"/>
          <w:color w:val="000000" w:themeColor="text1"/>
          <w:lang w:eastAsia="hr-HR"/>
        </w:rPr>
        <w:t xml:space="preserve"> i članka 28. stavka 1. i </w:t>
      </w:r>
      <w:r w:rsidRPr="003D5732">
        <w:rPr>
          <w:rFonts w:eastAsia="Times New Roman"/>
          <w:color w:val="000000" w:themeColor="text1"/>
          <w:lang w:eastAsia="hr-HR"/>
        </w:rPr>
        <w:t xml:space="preserve">članka </w:t>
      </w:r>
      <w:r w:rsidRPr="003D5732">
        <w:rPr>
          <w:rFonts w:eastAsia="Times New Roman"/>
          <w:color w:val="000000" w:themeColor="text1"/>
          <w:lang w:eastAsia="hr-HR"/>
        </w:rPr>
        <w:t xml:space="preserve">85. stavka 1. Statuta Općine Brinje </w:t>
      </w:r>
      <w:bookmarkStart w:id="0" w:name="_Hlk149544200"/>
      <w:r w:rsidRPr="003D5732">
        <w:rPr>
          <w:rFonts w:eastAsia="Times New Roman"/>
          <w:color w:val="000000" w:themeColor="text1"/>
          <w:lang w:eastAsia="hr-HR"/>
        </w:rPr>
        <w:t>(</w:t>
      </w:r>
      <w:bookmarkStart w:id="1" w:name="_Hlk149543980"/>
      <w:r w:rsidRPr="003D5732">
        <w:rPr>
          <w:rFonts w:eastAsia="Times New Roman"/>
          <w:color w:val="000000" w:themeColor="text1"/>
          <w:lang w:eastAsia="hr-HR"/>
        </w:rPr>
        <w:t>„Županijski glasnik“ Ličko-senjske županije</w:t>
      </w:r>
      <w:bookmarkEnd w:id="1"/>
      <w:r w:rsidRPr="003D5732">
        <w:rPr>
          <w:rFonts w:eastAsia="Times New Roman"/>
          <w:color w:val="000000" w:themeColor="text1"/>
          <w:lang w:eastAsia="hr-HR"/>
        </w:rPr>
        <w:t xml:space="preserve"> </w:t>
      </w:r>
      <w:bookmarkEnd w:id="0"/>
      <w:r w:rsidRPr="003D5732">
        <w:rPr>
          <w:rFonts w:eastAsia="Times New Roman"/>
          <w:color w:val="000000" w:themeColor="text1"/>
          <w:lang w:eastAsia="hr-HR"/>
        </w:rPr>
        <w:t>br. 4/21, 17/22), Općinsko vijeće Općine Brinje na ____ sjednici održanoj dana _______ 2025. godine, donijelo je</w:t>
      </w:r>
    </w:p>
    <w:p w14:paraId="01F59070" w14:textId="77777777" w:rsidR="003168ED" w:rsidRPr="003D5732" w:rsidRDefault="003168ED" w:rsidP="0039131F">
      <w:pPr>
        <w:jc w:val="center"/>
        <w:rPr>
          <w:color w:val="000000" w:themeColor="text1"/>
        </w:rPr>
      </w:pPr>
    </w:p>
    <w:p w14:paraId="7689CDA0" w14:textId="09BBBAAF" w:rsidR="0039131F" w:rsidRPr="003D5732" w:rsidRDefault="00C81061" w:rsidP="0039131F">
      <w:pPr>
        <w:jc w:val="center"/>
        <w:rPr>
          <w:b/>
          <w:bCs/>
          <w:color w:val="000000" w:themeColor="text1"/>
        </w:rPr>
      </w:pPr>
      <w:r w:rsidRPr="003D5732">
        <w:rPr>
          <w:b/>
          <w:bCs/>
          <w:color w:val="000000" w:themeColor="text1"/>
        </w:rPr>
        <w:t>ODLUK</w:t>
      </w:r>
      <w:r w:rsidR="00C918EC" w:rsidRPr="003D5732">
        <w:rPr>
          <w:b/>
          <w:bCs/>
          <w:color w:val="000000" w:themeColor="text1"/>
        </w:rPr>
        <w:t>U</w:t>
      </w:r>
      <w:r w:rsidRPr="003D5732">
        <w:rPr>
          <w:b/>
          <w:bCs/>
          <w:color w:val="000000" w:themeColor="text1"/>
        </w:rPr>
        <w:t xml:space="preserve"> </w:t>
      </w:r>
    </w:p>
    <w:p w14:paraId="7084522B" w14:textId="0E5FED48" w:rsidR="0039131F" w:rsidRPr="003D5732" w:rsidRDefault="0039131F" w:rsidP="0039131F">
      <w:pPr>
        <w:jc w:val="center"/>
        <w:rPr>
          <w:b/>
          <w:bCs/>
          <w:color w:val="000000" w:themeColor="text1"/>
        </w:rPr>
      </w:pPr>
      <w:r w:rsidRPr="003D5732">
        <w:rPr>
          <w:b/>
          <w:bCs/>
          <w:color w:val="000000" w:themeColor="text1"/>
        </w:rPr>
        <w:t>o općinskim porezima Općine</w:t>
      </w:r>
      <w:r w:rsidR="003168ED" w:rsidRPr="003D5732">
        <w:rPr>
          <w:b/>
          <w:bCs/>
          <w:color w:val="000000" w:themeColor="text1"/>
        </w:rPr>
        <w:t xml:space="preserve"> Brinje</w:t>
      </w:r>
    </w:p>
    <w:p w14:paraId="139E84E0" w14:textId="77777777" w:rsidR="008C3815" w:rsidRPr="003D5732" w:rsidRDefault="008C3815">
      <w:pPr>
        <w:rPr>
          <w:color w:val="000000" w:themeColor="text1"/>
        </w:rPr>
      </w:pPr>
    </w:p>
    <w:p w14:paraId="7D4C1BFA" w14:textId="77777777" w:rsidR="0039131F" w:rsidRPr="003D5732" w:rsidRDefault="0039131F" w:rsidP="0039131F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0E8187A" w14:textId="06D09D60" w:rsidR="0039131F" w:rsidRPr="003D5732" w:rsidRDefault="0039131F" w:rsidP="0039131F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I. OPĆA ODREDBA</w:t>
      </w:r>
    </w:p>
    <w:p w14:paraId="77DB8908" w14:textId="77777777" w:rsidR="0039131F" w:rsidRPr="003D5732" w:rsidRDefault="0039131F" w:rsidP="0039131F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3287EB1" w14:textId="43F02947" w:rsidR="00413F80" w:rsidRPr="003D5732" w:rsidRDefault="0039131F" w:rsidP="00866EEA">
      <w:pPr>
        <w:pStyle w:val="Bezproreda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Članak 1.</w:t>
      </w:r>
    </w:p>
    <w:p w14:paraId="168A64F7" w14:textId="4EC1D25D" w:rsidR="0068268B" w:rsidRPr="003D5732" w:rsidRDefault="0039131F" w:rsidP="003168ED">
      <w:pPr>
        <w:shd w:val="clear" w:color="auto" w:fill="FFFFFF"/>
        <w:spacing w:after="100" w:afterAutospacing="1"/>
        <w:ind w:firstLine="708"/>
        <w:jc w:val="both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Ovom se Odlukom utvrđuju vrste poreza koje pripadaju Općini</w:t>
      </w:r>
      <w:r w:rsidR="003168ED" w:rsidRPr="003D5732">
        <w:rPr>
          <w:color w:val="000000" w:themeColor="text1"/>
        </w:rPr>
        <w:t xml:space="preserve"> Brinje</w:t>
      </w:r>
      <w:r w:rsidRPr="003D5732">
        <w:rPr>
          <w:color w:val="000000" w:themeColor="text1"/>
        </w:rPr>
        <w:t>, visina stope poreza na potrošnju, visina poreza na nekretnine, što se smatra javnom površinom</w:t>
      </w:r>
      <w:r w:rsidR="00C81061" w:rsidRPr="003D5732">
        <w:rPr>
          <w:color w:val="000000" w:themeColor="text1"/>
        </w:rPr>
        <w:t>,</w:t>
      </w:r>
      <w:r w:rsidRPr="003D5732">
        <w:rPr>
          <w:color w:val="000000" w:themeColor="text1"/>
        </w:rPr>
        <w:t xml:space="preserve"> </w:t>
      </w:r>
      <w:r w:rsidRPr="003D5732">
        <w:rPr>
          <w:color w:val="000000" w:themeColor="text1"/>
          <w:lang w:eastAsia="zh-CN"/>
        </w:rPr>
        <w:t>visinu, način i uvjete</w:t>
      </w:r>
      <w:r w:rsidRPr="003D5732">
        <w:rPr>
          <w:color w:val="000000" w:themeColor="text1"/>
        </w:rPr>
        <w:t xml:space="preserve"> plaćanja poreza na korištenje javnih površina </w:t>
      </w:r>
      <w:r w:rsidR="00C81061" w:rsidRPr="003D5732">
        <w:rPr>
          <w:color w:val="000000" w:themeColor="text1"/>
        </w:rPr>
        <w:t>te</w:t>
      </w:r>
      <w:r w:rsidRPr="003D5732">
        <w:rPr>
          <w:color w:val="000000" w:themeColor="text1"/>
        </w:rPr>
        <w:t xml:space="preserve"> nadležno porezno tijelo za utvrđivanje i naplatu poreza.</w:t>
      </w:r>
    </w:p>
    <w:p w14:paraId="227D19A2" w14:textId="77777777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II. VRSTE POREZA</w:t>
      </w:r>
    </w:p>
    <w:p w14:paraId="344D25CF" w14:textId="77777777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</w:p>
    <w:p w14:paraId="0EB03465" w14:textId="77777777" w:rsidR="00413F80" w:rsidRPr="003D5732" w:rsidRDefault="00413F80" w:rsidP="00413F80">
      <w:pPr>
        <w:shd w:val="clear" w:color="auto" w:fill="FFFFFF"/>
        <w:jc w:val="center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Članak 2.</w:t>
      </w:r>
    </w:p>
    <w:p w14:paraId="7F522511" w14:textId="7CB02BE6" w:rsidR="00413F80" w:rsidRPr="003D5732" w:rsidRDefault="00413F80" w:rsidP="00413F80">
      <w:pPr>
        <w:pStyle w:val="Bezproreda1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​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ab/>
        <w:t>Općinski porezi su:</w:t>
      </w:r>
    </w:p>
    <w:p w14:paraId="0D6500FA" w14:textId="77777777" w:rsidR="00413F80" w:rsidRPr="003D5732" w:rsidRDefault="00413F80" w:rsidP="00413F80">
      <w:pPr>
        <w:pStyle w:val="Bezproreda1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1. porez na potrošnju,</w:t>
      </w:r>
    </w:p>
    <w:p w14:paraId="76E33DC6" w14:textId="513D7EDC" w:rsidR="00413F80" w:rsidRPr="003D5732" w:rsidRDefault="00413F80" w:rsidP="00413F80">
      <w:pPr>
        <w:pStyle w:val="Bezproreda1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2. porez na nekretnine i</w:t>
      </w:r>
    </w:p>
    <w:p w14:paraId="06C5D5A9" w14:textId="77777777" w:rsidR="00413F80" w:rsidRPr="003D5732" w:rsidRDefault="00413F80" w:rsidP="00413F80">
      <w:pPr>
        <w:pStyle w:val="Bezproreda1"/>
        <w:ind w:left="1276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3. porez na korištenje javnih površina.</w:t>
      </w:r>
    </w:p>
    <w:p w14:paraId="67D3A38B" w14:textId="77777777" w:rsidR="00413F80" w:rsidRPr="003D5732" w:rsidRDefault="00413F80" w:rsidP="00413F80">
      <w:pPr>
        <w:shd w:val="clear" w:color="auto" w:fill="FFFFFF"/>
        <w:spacing w:after="100" w:afterAutospacing="1"/>
        <w:jc w:val="both"/>
        <w:textAlignment w:val="top"/>
        <w:rPr>
          <w:color w:val="000000" w:themeColor="text1"/>
        </w:rPr>
      </w:pPr>
    </w:p>
    <w:p w14:paraId="59F0DFDD" w14:textId="02BA94DB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1. POREZ NA POTROŠNJU</w:t>
      </w:r>
    </w:p>
    <w:p w14:paraId="2492A70E" w14:textId="77777777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</w:p>
    <w:p w14:paraId="291F7983" w14:textId="77777777" w:rsidR="00413F80" w:rsidRPr="003D5732" w:rsidRDefault="00413F80" w:rsidP="00413F80">
      <w:pPr>
        <w:shd w:val="clear" w:color="auto" w:fill="FFFFFF"/>
        <w:jc w:val="center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Članak 3.</w:t>
      </w:r>
    </w:p>
    <w:p w14:paraId="0E0EB951" w14:textId="54F58725" w:rsidR="00413F80" w:rsidRPr="003D5732" w:rsidRDefault="00413F80" w:rsidP="00413F80">
      <w:pPr>
        <w:pStyle w:val="Bezproreda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Porez na potrošnju plaća se na potrošnju alkoholnih pića (vinjak, rakiju i žestoka pića), prirodnih vina, specijalnih vina, piva i bezalkoholna pića u ugostiteljskim objektima na području općine </w:t>
      </w:r>
      <w:r w:rsidR="003168ED" w:rsidRPr="003D5732">
        <w:rPr>
          <w:rFonts w:ascii="Times New Roman" w:hAnsi="Times New Roman"/>
          <w:color w:val="000000" w:themeColor="text1"/>
          <w:sz w:val="24"/>
          <w:szCs w:val="24"/>
        </w:rPr>
        <w:t>Brinje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, po stopi od </w:t>
      </w:r>
      <w:r w:rsidR="003168ED" w:rsidRPr="003D5732">
        <w:rPr>
          <w:rFonts w:ascii="Times New Roman" w:hAnsi="Times New Roman"/>
          <w:b/>
          <w:bCs/>
          <w:color w:val="000000" w:themeColor="text1"/>
          <w:sz w:val="24"/>
          <w:szCs w:val="24"/>
        </w:rPr>
        <w:t>3</w:t>
      </w:r>
      <w:r w:rsidRPr="003D5732">
        <w:rPr>
          <w:rFonts w:ascii="Times New Roman" w:hAnsi="Times New Roman"/>
          <w:b/>
          <w:bCs/>
          <w:color w:val="000000" w:themeColor="text1"/>
          <w:sz w:val="24"/>
          <w:szCs w:val="24"/>
        </w:rPr>
        <w:t>%.</w:t>
      </w:r>
    </w:p>
    <w:p w14:paraId="7E068FAD" w14:textId="2CBD2AC4" w:rsidR="003168ED" w:rsidRPr="003D5732" w:rsidRDefault="003168ED" w:rsidP="00413F80">
      <w:pPr>
        <w:shd w:val="clear" w:color="auto" w:fill="FFFFFF"/>
        <w:textAlignment w:val="top"/>
        <w:rPr>
          <w:color w:val="000000" w:themeColor="text1"/>
        </w:rPr>
      </w:pPr>
    </w:p>
    <w:p w14:paraId="3C5EF5C8" w14:textId="77777777" w:rsidR="003168ED" w:rsidRPr="003D5732" w:rsidRDefault="003168ED" w:rsidP="00413F80">
      <w:pPr>
        <w:shd w:val="clear" w:color="auto" w:fill="FFFFFF"/>
        <w:textAlignment w:val="top"/>
        <w:rPr>
          <w:color w:val="000000" w:themeColor="text1"/>
        </w:rPr>
      </w:pPr>
    </w:p>
    <w:p w14:paraId="0EA4B82A" w14:textId="3B210F58" w:rsidR="00EA78CF" w:rsidRPr="003D5732" w:rsidRDefault="00EA78CF" w:rsidP="00413F80">
      <w:pPr>
        <w:shd w:val="clear" w:color="auto" w:fill="FFFFFF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2. POREZ NA NEKRETNINE</w:t>
      </w:r>
    </w:p>
    <w:p w14:paraId="55E80F6A" w14:textId="77777777" w:rsidR="00EA78CF" w:rsidRPr="003D5732" w:rsidRDefault="00EA78CF" w:rsidP="00413F80">
      <w:pPr>
        <w:shd w:val="clear" w:color="auto" w:fill="FFFFFF"/>
        <w:textAlignment w:val="top"/>
        <w:rPr>
          <w:color w:val="000000" w:themeColor="text1"/>
        </w:rPr>
      </w:pPr>
    </w:p>
    <w:p w14:paraId="3214DFD9" w14:textId="6EE61480" w:rsidR="00EA78CF" w:rsidRPr="003D5732" w:rsidRDefault="00EA78CF" w:rsidP="00EA78CF">
      <w:pPr>
        <w:shd w:val="clear" w:color="auto" w:fill="FFFFFF"/>
        <w:jc w:val="center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Članak 4.</w:t>
      </w:r>
    </w:p>
    <w:p w14:paraId="51DA8A15" w14:textId="1E777281" w:rsidR="003829F1" w:rsidRPr="003D5732" w:rsidRDefault="00901E5B" w:rsidP="003168ED">
      <w:pPr>
        <w:shd w:val="clear" w:color="auto" w:fill="FFFFFF"/>
        <w:spacing w:after="100" w:afterAutospacing="1"/>
        <w:ind w:firstLine="708"/>
        <w:jc w:val="both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 xml:space="preserve">Porez na nekretnine na području Općine </w:t>
      </w:r>
      <w:r w:rsidR="003168ED" w:rsidRPr="003D5732">
        <w:rPr>
          <w:color w:val="000000" w:themeColor="text1"/>
        </w:rPr>
        <w:t xml:space="preserve">Brinje </w:t>
      </w:r>
      <w:r w:rsidRPr="003D5732">
        <w:rPr>
          <w:color w:val="000000" w:themeColor="text1"/>
        </w:rPr>
        <w:t xml:space="preserve">plaća se </w:t>
      </w:r>
      <w:r w:rsidR="003829F1" w:rsidRPr="003D5732">
        <w:rPr>
          <w:color w:val="000000" w:themeColor="text1"/>
        </w:rPr>
        <w:t xml:space="preserve">godišnje </w:t>
      </w:r>
      <w:r w:rsidRPr="003D5732">
        <w:rPr>
          <w:color w:val="000000" w:themeColor="text1"/>
        </w:rPr>
        <w:t xml:space="preserve">u visini od </w:t>
      </w:r>
      <w:r w:rsidR="003168ED" w:rsidRPr="003D5732">
        <w:rPr>
          <w:color w:val="000000" w:themeColor="text1"/>
        </w:rPr>
        <w:t>2,00</w:t>
      </w:r>
      <w:r w:rsidRPr="003D5732">
        <w:rPr>
          <w:color w:val="000000" w:themeColor="text1"/>
        </w:rPr>
        <w:t xml:space="preserve"> </w:t>
      </w:r>
      <w:r w:rsidR="003829F1" w:rsidRPr="003D5732">
        <w:rPr>
          <w:color w:val="000000" w:themeColor="text1"/>
        </w:rPr>
        <w:t>eura/m² korisne površine nekretnine</w:t>
      </w:r>
      <w:r w:rsidRPr="003D5732">
        <w:rPr>
          <w:color w:val="000000" w:themeColor="text1"/>
        </w:rPr>
        <w:t>.</w:t>
      </w:r>
    </w:p>
    <w:p w14:paraId="011A9978" w14:textId="699AC693" w:rsidR="00746C39" w:rsidRPr="003D5732" w:rsidRDefault="00C81061" w:rsidP="00C81061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lastRenderedPageBreak/>
        <w:t>3.  POREZ NA KORIŠTENJE JAVNIH POVRŠINA</w:t>
      </w:r>
    </w:p>
    <w:p w14:paraId="2235D83D" w14:textId="6BBFBF0A" w:rsidR="005545AD" w:rsidRPr="003D5732" w:rsidRDefault="005545AD" w:rsidP="005545AD">
      <w:pPr>
        <w:pStyle w:val="Bezproreda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71C0EFAF" w14:textId="68C2BF48" w:rsidR="00746C39" w:rsidRPr="003D5732" w:rsidRDefault="00746C39" w:rsidP="00746C39">
      <w:pPr>
        <w:jc w:val="center"/>
        <w:rPr>
          <w:color w:val="000000" w:themeColor="text1"/>
        </w:rPr>
      </w:pPr>
      <w:r w:rsidRPr="003D5732">
        <w:rPr>
          <w:color w:val="000000" w:themeColor="text1"/>
        </w:rPr>
        <w:t xml:space="preserve">Članak </w:t>
      </w:r>
      <w:r w:rsidRPr="003D5732">
        <w:rPr>
          <w:color w:val="000000" w:themeColor="text1"/>
        </w:rPr>
        <w:t>5</w:t>
      </w:r>
      <w:r w:rsidRPr="003D5732">
        <w:rPr>
          <w:color w:val="000000" w:themeColor="text1"/>
        </w:rPr>
        <w:t>.</w:t>
      </w:r>
    </w:p>
    <w:p w14:paraId="11B7F733" w14:textId="22FE0E66" w:rsidR="00746C39" w:rsidRPr="003D5732" w:rsidRDefault="00746C39" w:rsidP="00746C39">
      <w:pPr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Pod javnim površinama smatraju se javne prometne površine (javne ceste, nerazvrstane ceste, trgovi, šetnice, pješački polazi, javni prolazi, parkirališta, odmorišta, pločnici, mostovi)</w:t>
      </w:r>
      <w:r w:rsidRPr="003D5732">
        <w:rPr>
          <w:color w:val="000000" w:themeColor="text1"/>
        </w:rPr>
        <w:t>,</w:t>
      </w:r>
      <w:r w:rsidRPr="003D5732">
        <w:rPr>
          <w:color w:val="000000" w:themeColor="text1"/>
        </w:rPr>
        <w:t xml:space="preserve"> javne zelene površine (parkovi, dječja igrališta, zemljišni pojas uz javnoprometne površine, zelene površine uz cestu u naselju, zelene površine uz objekte javne namjene</w:t>
      </w:r>
      <w:r w:rsidRPr="003D5732">
        <w:rPr>
          <w:color w:val="000000" w:themeColor="text1"/>
        </w:rPr>
        <w:t xml:space="preserve">), </w:t>
      </w:r>
      <w:r w:rsidR="00437C84" w:rsidRPr="003D5732">
        <w:rPr>
          <w:color w:val="000000" w:themeColor="text1"/>
        </w:rPr>
        <w:t>površine kojima Općina</w:t>
      </w:r>
      <w:r w:rsidR="00437C84" w:rsidRPr="003D5732">
        <w:rPr>
          <w:color w:val="000000" w:themeColor="text1"/>
        </w:rPr>
        <w:t xml:space="preserve"> Brinje</w:t>
      </w:r>
      <w:r w:rsidR="00437C84" w:rsidRPr="003D5732">
        <w:rPr>
          <w:color w:val="000000" w:themeColor="text1"/>
        </w:rPr>
        <w:t xml:space="preserve"> gospodari temeljem pravnog posla</w:t>
      </w:r>
      <w:r w:rsidR="00437C84" w:rsidRPr="003D5732">
        <w:rPr>
          <w:color w:val="000000" w:themeColor="text1"/>
        </w:rPr>
        <w:t xml:space="preserve"> </w:t>
      </w:r>
      <w:r w:rsidRPr="003D5732">
        <w:rPr>
          <w:color w:val="000000" w:themeColor="text1"/>
        </w:rPr>
        <w:t>kao i neizgrađeno zemljište u vlasništvu Općine</w:t>
      </w:r>
      <w:r w:rsidRPr="003D5732">
        <w:rPr>
          <w:color w:val="000000" w:themeColor="text1"/>
        </w:rPr>
        <w:t xml:space="preserve"> Brinje</w:t>
      </w:r>
      <w:r w:rsidRPr="003D5732">
        <w:rPr>
          <w:color w:val="000000" w:themeColor="text1"/>
        </w:rPr>
        <w:t xml:space="preserve"> koje se može gospodarski koristiti na način i u skladu s namjenom.</w:t>
      </w:r>
    </w:p>
    <w:p w14:paraId="59932549" w14:textId="77777777" w:rsidR="00746C39" w:rsidRPr="003D5732" w:rsidRDefault="00746C39" w:rsidP="00746C39">
      <w:pPr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Porez na korištenje javnih površina plaćaju fizičke i pravne osobe koje koriste javne površine na području Općine Brinje.</w:t>
      </w:r>
    </w:p>
    <w:p w14:paraId="7D0A3F7A" w14:textId="77777777" w:rsidR="00746C39" w:rsidRPr="003D5732" w:rsidRDefault="00746C39" w:rsidP="00746C39">
      <w:pPr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Obveznik poreza na korištenje javne površine iz prethodnog stavka je svaka fizička ili pravna osoba koja koristi javnu površinu za postavljanje objekata ili naprave za obavljanje poduzetničke djelatnosti.</w:t>
      </w:r>
    </w:p>
    <w:p w14:paraId="20CE207A" w14:textId="77777777" w:rsidR="00746C39" w:rsidRPr="003D5732" w:rsidRDefault="00746C39" w:rsidP="00746C39">
      <w:pPr>
        <w:ind w:firstLine="708"/>
        <w:jc w:val="both"/>
        <w:rPr>
          <w:color w:val="000000" w:themeColor="text1"/>
        </w:rPr>
      </w:pPr>
    </w:p>
    <w:p w14:paraId="5774D42B" w14:textId="3E45DB3C" w:rsidR="00746C39" w:rsidRPr="003D5732" w:rsidRDefault="00746C39" w:rsidP="00746C39">
      <w:pPr>
        <w:jc w:val="center"/>
        <w:rPr>
          <w:color w:val="000000" w:themeColor="text1"/>
        </w:rPr>
      </w:pPr>
      <w:r w:rsidRPr="003D5732">
        <w:rPr>
          <w:color w:val="000000" w:themeColor="text1"/>
        </w:rPr>
        <w:t xml:space="preserve">Članak </w:t>
      </w:r>
      <w:r w:rsidR="00437C84" w:rsidRPr="003D5732">
        <w:rPr>
          <w:color w:val="000000" w:themeColor="text1"/>
        </w:rPr>
        <w:t>6</w:t>
      </w:r>
      <w:r w:rsidRPr="003D5732">
        <w:rPr>
          <w:color w:val="000000" w:themeColor="text1"/>
        </w:rPr>
        <w:t>.</w:t>
      </w:r>
    </w:p>
    <w:p w14:paraId="37FC5F6C" w14:textId="77777777" w:rsidR="00746C39" w:rsidRPr="003D5732" w:rsidRDefault="00746C39" w:rsidP="004E3FBF">
      <w:pPr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Porez na korištenje javnih površina utvrđuje se po metru kvadratnom zauzete površine dnevno, mjesečno, odnosno godišnje ovisno u svrsi kako slijedi:</w:t>
      </w:r>
    </w:p>
    <w:p w14:paraId="67E577FE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montažnog kioska za prodaju novina, duhana i sl. – 800,00 eura/godišnje</w:t>
      </w:r>
    </w:p>
    <w:p w14:paraId="6939293B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montažnog kioska za prodaju voća i povrća – 800,00 eura/godišnje</w:t>
      </w:r>
    </w:p>
    <w:p w14:paraId="50EFB418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montažnog kioska za ugostiteljsku djelatnost, uključujući brzu prehranu – 1.200,00 eura/godišnje</w:t>
      </w:r>
    </w:p>
    <w:p w14:paraId="16DCD9A2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pokretnih naprava (štandova i aparata) za prodaju sljedećih roba:</w:t>
      </w:r>
    </w:p>
    <w:p w14:paraId="3195D852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suvenira, bižuterije kožne galanterije, igračaka, oslikanih majica, nakita, tekstila, obuće i keramike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</w:t>
      </w:r>
    </w:p>
    <w:p w14:paraId="5C988BAB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tekstila, obuće i keramika i sl.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6332FCB4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voća i povrća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36158093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nakita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1F2528D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oslikanih majica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855F28A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štandovi za prodaju slika i izradu portreta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14469A23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aparat za kokice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393E9E2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aparat za sladoled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0C8073A6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aparat za palačinke i ostalih jestivih proizvoda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36E15430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aparati i naprave za zabavu i igru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D6787B5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vrtuljak za prodaju razglednica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07CE1588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rashladnih vitrina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081CAFBE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ledenica i rashladnih vitrina za piće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200,00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4F8EBB61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otvorenog šanka – 25,00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</w:t>
      </w:r>
    </w:p>
    <w:p w14:paraId="31B74A49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– u slučaju ako je otvoreni šank postavljen duže od jednog dana općinski porez se obračunava po cijeni za postavljanje ugostiteljskih terasa,</w:t>
      </w:r>
    </w:p>
    <w:p w14:paraId="5FA9A863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šatora, pozornica za održavanje raznih manifestacija i drugih privremenih građevina – 3,30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80,00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0AADBDF4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cirkuskih šatora – 3,30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80,00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465CE0E7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lunaparkova – 3,30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80,00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42CDEA6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trampolina – 3,30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80,00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7866733F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zabavnih igara – 3,30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80,00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0D603C4A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reklamnih platna (jumbo plakati) – 25,00 eura/dnevno, 265,00 eura/mjesečno, 2.655,00 eura/godišnje,</w:t>
      </w:r>
    </w:p>
    <w:p w14:paraId="3FF594DC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osvijetljenih reklamnih vitrina (</w:t>
      </w:r>
      <w:proofErr w:type="spellStart"/>
      <w:r w:rsidRPr="003D5732">
        <w:rPr>
          <w:color w:val="000000" w:themeColor="text1"/>
        </w:rPr>
        <w:t>city</w:t>
      </w:r>
      <w:proofErr w:type="spellEnd"/>
      <w:r w:rsidRPr="003D5732">
        <w:rPr>
          <w:color w:val="000000" w:themeColor="text1"/>
        </w:rPr>
        <w:t xml:space="preserve"> </w:t>
      </w:r>
      <w:proofErr w:type="spellStart"/>
      <w:r w:rsidRPr="003D5732">
        <w:rPr>
          <w:color w:val="000000" w:themeColor="text1"/>
        </w:rPr>
        <w:t>light</w:t>
      </w:r>
      <w:proofErr w:type="spellEnd"/>
      <w:r w:rsidRPr="003D5732">
        <w:rPr>
          <w:color w:val="000000" w:themeColor="text1"/>
        </w:rPr>
        <w:t>) – 13,00 eura/dnevno, 130,00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 1.325,00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/godišnje</w:t>
      </w:r>
    </w:p>
    <w:p w14:paraId="4B5C9BAE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lastRenderedPageBreak/>
        <w:t xml:space="preserve">• Za postavljanje reklamnih panoa, reklamnih uređaja, konstrukcija i slično – samostojeći ili na objektima, </w:t>
      </w:r>
      <w:proofErr w:type="spellStart"/>
      <w:r w:rsidRPr="003D5732">
        <w:rPr>
          <w:color w:val="000000" w:themeColor="text1"/>
        </w:rPr>
        <w:t>putokaznih</w:t>
      </w:r>
      <w:proofErr w:type="spellEnd"/>
      <w:r w:rsidRPr="003D5732">
        <w:rPr>
          <w:color w:val="000000" w:themeColor="text1"/>
        </w:rPr>
        <w:t xml:space="preserve"> reklama te reklamni stupovi do 2 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 površine – 6,60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33,00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 660,00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/godišnje</w:t>
      </w:r>
    </w:p>
    <w:p w14:paraId="3ACD414C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prodaju proizvoda obiteljskih poljoprivrednih gospodarstava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33,00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</w:t>
      </w:r>
    </w:p>
    <w:p w14:paraId="6F4EC757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zauzetost (ostavljanje) na javnoj površini raznih pokretnih i nepokretnih stvari (prikolice, traktori, kamioni, bačve, neispravna vozila i slično)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33,00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3C42406E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zauzetost javne površine radi održavanja prezentacija radi reklamiranja ili prodaje određenih proizvoda – 13,00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33,00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54AE7E1F" w14:textId="77777777" w:rsidR="00746C39" w:rsidRPr="003D5732" w:rsidRDefault="00746C39" w:rsidP="004E3FBF">
      <w:pPr>
        <w:jc w:val="both"/>
        <w:rPr>
          <w:color w:val="000000" w:themeColor="text1"/>
        </w:rPr>
      </w:pPr>
      <w:r w:rsidRPr="003D5732">
        <w:rPr>
          <w:color w:val="000000" w:themeColor="text1"/>
        </w:rPr>
        <w:t>• Za postavljanje ugostiteljskih terasa ispred ugostiteljskih objekata u periodu od 1. 4. do 31. 10. godine – 0,10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/dnevno, 2,65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>/mjesečno,</w:t>
      </w:r>
    </w:p>
    <w:p w14:paraId="45295403" w14:textId="77777777" w:rsidR="00746C39" w:rsidRPr="003D5732" w:rsidRDefault="00746C39" w:rsidP="004E3FBF">
      <w:pPr>
        <w:numPr>
          <w:ilvl w:val="0"/>
          <w:numId w:val="4"/>
        </w:numPr>
        <w:jc w:val="both"/>
        <w:rPr>
          <w:color w:val="000000" w:themeColor="text1"/>
        </w:rPr>
      </w:pPr>
      <w:r w:rsidRPr="003D5732">
        <w:rPr>
          <w:color w:val="000000" w:themeColor="text1"/>
        </w:rPr>
        <w:t>Za postavljanje kontejnera za smeće i sličnih naprava 0,04 eura/m</w:t>
      </w:r>
      <w:r w:rsidRPr="003D5732">
        <w:rPr>
          <w:color w:val="000000" w:themeColor="text1"/>
          <w:vertAlign w:val="superscript"/>
        </w:rPr>
        <w:t>2</w:t>
      </w:r>
      <w:r w:rsidRPr="003D5732">
        <w:rPr>
          <w:color w:val="000000" w:themeColor="text1"/>
        </w:rPr>
        <w:t xml:space="preserve"> dnevno, </w:t>
      </w:r>
    </w:p>
    <w:p w14:paraId="5D88CE61" w14:textId="77777777" w:rsidR="00746C39" w:rsidRPr="003D5732" w:rsidRDefault="00746C39" w:rsidP="004E3FBF">
      <w:pPr>
        <w:numPr>
          <w:ilvl w:val="0"/>
          <w:numId w:val="4"/>
        </w:numPr>
        <w:jc w:val="both"/>
        <w:rPr>
          <w:color w:val="000000" w:themeColor="text1"/>
        </w:rPr>
      </w:pPr>
      <w:r w:rsidRPr="003D5732">
        <w:rPr>
          <w:color w:val="000000" w:themeColor="text1"/>
        </w:rPr>
        <w:t>Za ostale djelatnosti 0,10 eura/m</w:t>
      </w:r>
      <w:r w:rsidRPr="003D5732">
        <w:rPr>
          <w:color w:val="000000" w:themeColor="text1"/>
          <w:vertAlign w:val="superscript"/>
        </w:rPr>
        <w:t xml:space="preserve">2 </w:t>
      </w:r>
      <w:r w:rsidRPr="003D5732">
        <w:rPr>
          <w:color w:val="000000" w:themeColor="text1"/>
        </w:rPr>
        <w:t>dnevno.</w:t>
      </w:r>
    </w:p>
    <w:p w14:paraId="0BD1350A" w14:textId="77777777" w:rsidR="00437C84" w:rsidRPr="003D5732" w:rsidRDefault="00437C84" w:rsidP="00437C84">
      <w:pPr>
        <w:ind w:left="1128"/>
        <w:jc w:val="both"/>
        <w:rPr>
          <w:color w:val="000000" w:themeColor="text1"/>
        </w:rPr>
      </w:pPr>
    </w:p>
    <w:p w14:paraId="083A3653" w14:textId="77777777" w:rsidR="00437C84" w:rsidRPr="003D5732" w:rsidRDefault="00437C84" w:rsidP="00437C84">
      <w:pPr>
        <w:pStyle w:val="Bezproreda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Članak 7.</w:t>
      </w:r>
    </w:p>
    <w:p w14:paraId="3C42C945" w14:textId="77777777" w:rsidR="00437C84" w:rsidRPr="003D5732" w:rsidRDefault="00437C84" w:rsidP="00437C84">
      <w:pPr>
        <w:pStyle w:val="Bezproreda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Visina poreza na korištenje javne površine utvrđuje se rješenjem o porezu na korištenje javne površine.</w:t>
      </w:r>
    </w:p>
    <w:p w14:paraId="717BC0AC" w14:textId="77777777" w:rsidR="00437C84" w:rsidRPr="003D5732" w:rsidRDefault="00437C84" w:rsidP="00437C84">
      <w:pPr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>Porez na korištenje javne površine plaća se jednokratno u roku od 30 dana od dana dostave rješenja.</w:t>
      </w:r>
    </w:p>
    <w:p w14:paraId="019D30B4" w14:textId="77777777" w:rsidR="00437C84" w:rsidRPr="003D5732" w:rsidRDefault="00437C84" w:rsidP="00437C84">
      <w:pPr>
        <w:rPr>
          <w:b/>
          <w:bCs/>
          <w:color w:val="000000" w:themeColor="text1"/>
        </w:rPr>
      </w:pPr>
    </w:p>
    <w:p w14:paraId="64625087" w14:textId="043ADAAD" w:rsidR="00746C39" w:rsidRPr="003D5732" w:rsidRDefault="00746C39" w:rsidP="00746C39">
      <w:pPr>
        <w:jc w:val="center"/>
        <w:rPr>
          <w:color w:val="000000" w:themeColor="text1"/>
        </w:rPr>
      </w:pPr>
      <w:r w:rsidRPr="003D5732">
        <w:rPr>
          <w:color w:val="000000" w:themeColor="text1"/>
        </w:rPr>
        <w:t>Članak 8.</w:t>
      </w:r>
    </w:p>
    <w:p w14:paraId="1C88AD9B" w14:textId="236E311B" w:rsidR="00076596" w:rsidRPr="003D5732" w:rsidRDefault="00437C84" w:rsidP="00437C84">
      <w:pPr>
        <w:pStyle w:val="Bezproreda"/>
        <w:tabs>
          <w:tab w:val="left" w:pos="567"/>
        </w:tabs>
        <w:jc w:val="both"/>
        <w:rPr>
          <w:rFonts w:ascii="Times New Roman" w:hAnsi="Times New Roman"/>
          <w:iCs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            </w:t>
      </w:r>
      <w:r w:rsidR="00746C39" w:rsidRPr="003D5732">
        <w:rPr>
          <w:rFonts w:ascii="Times New Roman" w:hAnsi="Times New Roman"/>
          <w:color w:val="000000" w:themeColor="text1"/>
          <w:sz w:val="24"/>
          <w:szCs w:val="24"/>
          <w:lang w:eastAsia="hr-HR"/>
        </w:rPr>
        <w:t>Porez na korištenje javnih površina ne plaća se za aktivnosti i manifestacije koje se financiraju iz proračuna Općine te za humanitarne manifestacije, ekološke manifestacije i javnozdravstvene preventivne akcije.</w:t>
      </w:r>
    </w:p>
    <w:p w14:paraId="105B43BC" w14:textId="77777777" w:rsidR="005E7A3A" w:rsidRPr="003D5732" w:rsidRDefault="005E7A3A" w:rsidP="005E7A3A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EE8C3DE" w14:textId="5ACD484B" w:rsidR="005E7A3A" w:rsidRPr="003D5732" w:rsidRDefault="005E7A3A" w:rsidP="005E7A3A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III. PRIJENOS OVLASTI I NADLEŽNA POREZNA TIJELA</w:t>
      </w:r>
    </w:p>
    <w:p w14:paraId="62AEE5D3" w14:textId="77777777" w:rsidR="005E7A3A" w:rsidRPr="003D5732" w:rsidRDefault="005E7A3A" w:rsidP="005E7A3A">
      <w:pPr>
        <w:pStyle w:val="Bezproreda1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14:paraId="6AB3C91C" w14:textId="760FB475" w:rsidR="005E7A3A" w:rsidRPr="003D5732" w:rsidRDefault="005E7A3A" w:rsidP="005E7A3A">
      <w:pPr>
        <w:pStyle w:val="Bezproreda1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Članak </w:t>
      </w:r>
      <w:r w:rsidR="006C5CCC" w:rsidRPr="003D5732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0E3721E0" w14:textId="004203EF" w:rsidR="005E7A3A" w:rsidRPr="003D5732" w:rsidRDefault="005E7A3A" w:rsidP="005E7A3A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ab/>
        <w:t xml:space="preserve"> Poslove utvrđivanja i naplate poreza na potrošnju obavlja Ministarstvo financija, Porezna uprava</w:t>
      </w:r>
      <w:r w:rsidRPr="003D573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6EA565A7" w14:textId="2C65C293" w:rsidR="00035AB8" w:rsidRPr="003D5732" w:rsidRDefault="005E7A3A" w:rsidP="00035AB8">
      <w:pPr>
        <w:pStyle w:val="Bezproreda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Poslove utvrđivanja i naplate poreza na nekretnine</w:t>
      </w:r>
      <w:r w:rsidR="00035AB8"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 obavlja Ministarstvo financija, Porezna uprava</w:t>
      </w:r>
      <w:r w:rsidR="00035AB8" w:rsidRPr="003D573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3165D146" w14:textId="79670544" w:rsidR="00035AB8" w:rsidRPr="003D5732" w:rsidRDefault="00035AB8" w:rsidP="00035AB8">
      <w:pPr>
        <w:pStyle w:val="Bezproreda1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D5732">
        <w:rPr>
          <w:rFonts w:ascii="Times New Roman" w:hAnsi="Times New Roman"/>
          <w:color w:val="000000" w:themeColor="text1"/>
          <w:sz w:val="24"/>
          <w:szCs w:val="24"/>
        </w:rPr>
        <w:t>Poslove utvrđivanja i naplate poreza na korištenje javnih površina</w:t>
      </w:r>
      <w:r w:rsidR="00EE1B56"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obavlja </w:t>
      </w:r>
      <w:r w:rsidR="00437C84"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Jedinstveni 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>upravni odjel</w:t>
      </w:r>
      <w:r w:rsidR="00437C84"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D5732">
        <w:rPr>
          <w:rFonts w:ascii="Times New Roman" w:hAnsi="Times New Roman"/>
          <w:color w:val="000000" w:themeColor="text1"/>
          <w:sz w:val="24"/>
          <w:szCs w:val="24"/>
        </w:rPr>
        <w:t>Općine</w:t>
      </w:r>
      <w:r w:rsidR="00437C84" w:rsidRPr="003D5732">
        <w:rPr>
          <w:rFonts w:ascii="Times New Roman" w:hAnsi="Times New Roman"/>
          <w:color w:val="000000" w:themeColor="text1"/>
          <w:sz w:val="24"/>
          <w:szCs w:val="24"/>
        </w:rPr>
        <w:t xml:space="preserve"> Brinje</w:t>
      </w:r>
      <w:r w:rsidRPr="003D5732">
        <w:rPr>
          <w:rFonts w:ascii="Times New Roman" w:hAnsi="Times New Roman"/>
          <w:color w:val="000000" w:themeColor="text1"/>
          <w:sz w:val="24"/>
          <w:szCs w:val="24"/>
          <w:lang w:eastAsia="hr-HR"/>
        </w:rPr>
        <w:t xml:space="preserve">. </w:t>
      </w:r>
    </w:p>
    <w:p w14:paraId="52C030A1" w14:textId="77777777" w:rsidR="005E7A3A" w:rsidRPr="003D5732" w:rsidRDefault="005E7A3A" w:rsidP="005E7A3A">
      <w:pPr>
        <w:pStyle w:val="Bezproreda1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5E16641B" w14:textId="77777777" w:rsidR="00413F80" w:rsidRPr="003D5732" w:rsidRDefault="00413F80" w:rsidP="00413F80">
      <w:pPr>
        <w:shd w:val="clear" w:color="auto" w:fill="FFFFFF"/>
        <w:ind w:firstLine="708"/>
        <w:jc w:val="center"/>
        <w:textAlignment w:val="top"/>
        <w:rPr>
          <w:b/>
          <w:bCs/>
          <w:color w:val="000000" w:themeColor="text1"/>
        </w:rPr>
      </w:pPr>
    </w:p>
    <w:p w14:paraId="763C40A3" w14:textId="3C53C589" w:rsidR="00413F80" w:rsidRPr="003D5732" w:rsidRDefault="00E93D46" w:rsidP="00E93D46">
      <w:pPr>
        <w:shd w:val="clear" w:color="auto" w:fill="FFFFFF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I</w:t>
      </w:r>
      <w:r w:rsidR="00413F80" w:rsidRPr="003D5732">
        <w:rPr>
          <w:color w:val="000000" w:themeColor="text1"/>
        </w:rPr>
        <w:t>V.  DAVANJE OVLASTI FINA-i</w:t>
      </w:r>
    </w:p>
    <w:p w14:paraId="0088A2DB" w14:textId="77777777" w:rsidR="00413F80" w:rsidRPr="003D5732" w:rsidRDefault="00413F80" w:rsidP="00413F80">
      <w:pPr>
        <w:shd w:val="clear" w:color="auto" w:fill="FFFFFF"/>
        <w:ind w:firstLine="708"/>
        <w:textAlignment w:val="top"/>
        <w:rPr>
          <w:b/>
          <w:bCs/>
          <w:color w:val="000000" w:themeColor="text1"/>
        </w:rPr>
      </w:pPr>
    </w:p>
    <w:p w14:paraId="663F220B" w14:textId="4A918DDE" w:rsidR="00413F80" w:rsidRPr="003D5732" w:rsidRDefault="00413F80" w:rsidP="006C5CCC">
      <w:pPr>
        <w:shd w:val="clear" w:color="auto" w:fill="FFFFFF"/>
        <w:jc w:val="center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 xml:space="preserve">Članak </w:t>
      </w:r>
      <w:r w:rsidR="006C5CCC" w:rsidRPr="003D5732">
        <w:rPr>
          <w:color w:val="000000" w:themeColor="text1"/>
        </w:rPr>
        <w:t>10</w:t>
      </w:r>
      <w:r w:rsidRPr="003D5732">
        <w:rPr>
          <w:color w:val="000000" w:themeColor="text1"/>
        </w:rPr>
        <w:t>.</w:t>
      </w:r>
    </w:p>
    <w:p w14:paraId="1F09E963" w14:textId="77777777" w:rsidR="00413F80" w:rsidRPr="003D5732" w:rsidRDefault="00413F80" w:rsidP="00EE1B56">
      <w:pPr>
        <w:shd w:val="clear" w:color="auto" w:fill="FFFFFF"/>
        <w:ind w:firstLine="708"/>
        <w:jc w:val="both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Ovlašćuje se nadležna organizacija platnog prometa zadužena za raspoređivanje uplaćenih prihoda, da naknada koja pripada Ministarstvu financija, Poreznoj upravi u iznosu od 5% od ukupno uplaćenih prihoda, obračuna i uplati u državni proračun i to do zadnjeg dana u mjesecu za protekli mjesec.</w:t>
      </w:r>
    </w:p>
    <w:p w14:paraId="3FA61A46" w14:textId="77777777" w:rsidR="004E3FBF" w:rsidRPr="003D5732" w:rsidRDefault="004E3FBF" w:rsidP="004E3FBF">
      <w:pPr>
        <w:shd w:val="clear" w:color="auto" w:fill="FFFFFF"/>
        <w:jc w:val="both"/>
        <w:textAlignment w:val="top"/>
        <w:rPr>
          <w:color w:val="000000" w:themeColor="text1"/>
        </w:rPr>
      </w:pPr>
    </w:p>
    <w:p w14:paraId="6A5A4AC3" w14:textId="77777777" w:rsidR="004E3FBF" w:rsidRPr="003D5732" w:rsidRDefault="004E3FBF" w:rsidP="004E3FBF">
      <w:pPr>
        <w:shd w:val="clear" w:color="auto" w:fill="FFFFFF"/>
        <w:jc w:val="both"/>
        <w:textAlignment w:val="top"/>
        <w:rPr>
          <w:b/>
          <w:bCs/>
          <w:color w:val="000000" w:themeColor="text1"/>
        </w:rPr>
      </w:pPr>
    </w:p>
    <w:p w14:paraId="6D1B6EE4" w14:textId="3D0223E7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 xml:space="preserve">V. PRIJELAZNE I ZAVRŠNE ODREDBE </w:t>
      </w:r>
    </w:p>
    <w:p w14:paraId="507A0FA5" w14:textId="77777777" w:rsidR="00413F80" w:rsidRPr="003D5732" w:rsidRDefault="00413F80" w:rsidP="00413F80">
      <w:pPr>
        <w:shd w:val="clear" w:color="auto" w:fill="FFFFFF"/>
        <w:textAlignment w:val="top"/>
        <w:rPr>
          <w:color w:val="000000" w:themeColor="text1"/>
        </w:rPr>
      </w:pPr>
    </w:p>
    <w:p w14:paraId="0A8C7884" w14:textId="77777777" w:rsidR="009B6F90" w:rsidRPr="003D5732" w:rsidRDefault="009B6F90" w:rsidP="00413F80">
      <w:pPr>
        <w:shd w:val="clear" w:color="auto" w:fill="FFFFFF"/>
        <w:textAlignment w:val="top"/>
        <w:rPr>
          <w:color w:val="000000" w:themeColor="text1"/>
        </w:rPr>
      </w:pPr>
    </w:p>
    <w:p w14:paraId="0D464D65" w14:textId="0BC5526A" w:rsidR="00413F80" w:rsidRPr="003D5732" w:rsidRDefault="00413F80" w:rsidP="009B6F90">
      <w:pPr>
        <w:shd w:val="clear" w:color="auto" w:fill="FFFFFF"/>
        <w:jc w:val="center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Članak 1</w:t>
      </w:r>
      <w:r w:rsidR="006C5CCC" w:rsidRPr="003D5732">
        <w:rPr>
          <w:color w:val="000000" w:themeColor="text1"/>
        </w:rPr>
        <w:t>1</w:t>
      </w:r>
      <w:r w:rsidR="00EE1B56" w:rsidRPr="003D5732">
        <w:rPr>
          <w:color w:val="000000" w:themeColor="text1"/>
        </w:rPr>
        <w:t>.</w:t>
      </w:r>
    </w:p>
    <w:p w14:paraId="724813CB" w14:textId="17A98BD8" w:rsidR="00413F80" w:rsidRPr="003D5732" w:rsidRDefault="00413F80" w:rsidP="006C5CCC">
      <w:pPr>
        <w:shd w:val="clear" w:color="auto" w:fill="FFFFFF"/>
        <w:spacing w:after="100" w:afterAutospacing="1"/>
        <w:jc w:val="both"/>
        <w:textAlignment w:val="top"/>
        <w:rPr>
          <w:color w:val="000000" w:themeColor="text1"/>
        </w:rPr>
      </w:pPr>
      <w:r w:rsidRPr="003D5732">
        <w:rPr>
          <w:color w:val="000000" w:themeColor="text1"/>
        </w:rPr>
        <w:t>​</w:t>
      </w:r>
      <w:r w:rsidR="00EE1B56" w:rsidRPr="003D5732">
        <w:rPr>
          <w:color w:val="000000" w:themeColor="text1"/>
        </w:rPr>
        <w:tab/>
      </w:r>
      <w:r w:rsidRPr="003D5732">
        <w:rPr>
          <w:color w:val="000000" w:themeColor="text1"/>
        </w:rPr>
        <w:t xml:space="preserve">Postupci utvrđivanja poreza započeti po odredbama Odluke </w:t>
      </w:r>
      <w:r w:rsidR="009B6F90" w:rsidRPr="003D5732">
        <w:rPr>
          <w:color w:val="000000" w:themeColor="text1"/>
        </w:rPr>
        <w:t>o porezima Općine</w:t>
      </w:r>
      <w:r w:rsidR="00437C84" w:rsidRPr="003D5732">
        <w:rPr>
          <w:color w:val="000000" w:themeColor="text1"/>
        </w:rPr>
        <w:t xml:space="preserve"> Brinje</w:t>
      </w:r>
      <w:r w:rsidR="009B6F90" w:rsidRPr="003D5732">
        <w:rPr>
          <w:color w:val="000000" w:themeColor="text1"/>
        </w:rPr>
        <w:t xml:space="preserve"> </w:t>
      </w:r>
      <w:r w:rsidRPr="003D5732">
        <w:rPr>
          <w:color w:val="000000" w:themeColor="text1"/>
        </w:rPr>
        <w:t>(</w:t>
      </w:r>
      <w:r w:rsidR="004776CA" w:rsidRPr="003D5732">
        <w:rPr>
          <w:color w:val="000000" w:themeColor="text1"/>
        </w:rPr>
        <w:t>„Županijski</w:t>
      </w:r>
      <w:r w:rsidRPr="003D5732">
        <w:rPr>
          <w:color w:val="000000" w:themeColor="text1"/>
        </w:rPr>
        <w:t xml:space="preserve"> </w:t>
      </w:r>
      <w:r w:rsidR="009B6F90" w:rsidRPr="003D5732">
        <w:rPr>
          <w:color w:val="000000" w:themeColor="text1"/>
        </w:rPr>
        <w:t>glasnik</w:t>
      </w:r>
      <w:r w:rsidR="004776CA" w:rsidRPr="003D5732">
        <w:rPr>
          <w:color w:val="000000" w:themeColor="text1"/>
        </w:rPr>
        <w:t>“ Ličko-senjske županije</w:t>
      </w:r>
      <w:r w:rsidRPr="003D5732">
        <w:rPr>
          <w:color w:val="000000" w:themeColor="text1"/>
        </w:rPr>
        <w:t>, broj</w:t>
      </w:r>
      <w:r w:rsidR="004776CA" w:rsidRPr="003D5732">
        <w:rPr>
          <w:color w:val="000000" w:themeColor="text1"/>
        </w:rPr>
        <w:t xml:space="preserve"> 31/23)</w:t>
      </w:r>
      <w:r w:rsidR="00EE1B56" w:rsidRPr="003D5732">
        <w:rPr>
          <w:color w:val="000000" w:themeColor="text1"/>
        </w:rPr>
        <w:t>,</w:t>
      </w:r>
      <w:r w:rsidRPr="003D5732">
        <w:rPr>
          <w:color w:val="000000" w:themeColor="text1"/>
        </w:rPr>
        <w:t xml:space="preserve"> koji nisu </w:t>
      </w:r>
      <w:r w:rsidR="009B6F90" w:rsidRPr="003D5732">
        <w:rPr>
          <w:color w:val="000000" w:themeColor="text1"/>
        </w:rPr>
        <w:t>završeni</w:t>
      </w:r>
      <w:r w:rsidRPr="003D5732">
        <w:rPr>
          <w:color w:val="000000" w:themeColor="text1"/>
        </w:rPr>
        <w:t xml:space="preserve"> do </w:t>
      </w:r>
      <w:r w:rsidR="000219A5" w:rsidRPr="003D5732">
        <w:rPr>
          <w:color w:val="000000" w:themeColor="text1"/>
        </w:rPr>
        <w:t xml:space="preserve">dana </w:t>
      </w:r>
      <w:r w:rsidRPr="003D5732">
        <w:rPr>
          <w:color w:val="000000" w:themeColor="text1"/>
        </w:rPr>
        <w:t xml:space="preserve">stupanja na snagu ove Odluke, dovršiti će se prema odredbama </w:t>
      </w:r>
      <w:r w:rsidR="004776CA" w:rsidRPr="003D5732">
        <w:rPr>
          <w:color w:val="000000" w:themeColor="text1"/>
        </w:rPr>
        <w:t>Odluke o porezima Općine Brinje („Županijski glasnik“ Ličko-senjske županije, broj 31/23)</w:t>
      </w:r>
      <w:r w:rsidR="000219A5" w:rsidRPr="003D5732">
        <w:rPr>
          <w:color w:val="000000" w:themeColor="text1"/>
        </w:rPr>
        <w:t>.</w:t>
      </w:r>
    </w:p>
    <w:p w14:paraId="060A4D8C" w14:textId="4C273859" w:rsidR="00413F80" w:rsidRPr="003D5732" w:rsidRDefault="00413F80" w:rsidP="00EE1B56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3D5732">
        <w:rPr>
          <w:color w:val="000000" w:themeColor="text1"/>
        </w:rPr>
        <w:lastRenderedPageBreak/>
        <w:t>Članak 1</w:t>
      </w:r>
      <w:r w:rsidR="006C5CCC" w:rsidRPr="003D5732">
        <w:rPr>
          <w:color w:val="000000" w:themeColor="text1"/>
        </w:rPr>
        <w:t>2</w:t>
      </w:r>
      <w:r w:rsidRPr="003D5732">
        <w:rPr>
          <w:color w:val="000000" w:themeColor="text1"/>
        </w:rPr>
        <w:t>.</w:t>
      </w:r>
    </w:p>
    <w:p w14:paraId="4CBBD4F2" w14:textId="3E9A39C3" w:rsidR="00413F80" w:rsidRPr="003D5732" w:rsidRDefault="00413F80" w:rsidP="00EE1B56">
      <w:pPr>
        <w:autoSpaceDE w:val="0"/>
        <w:autoSpaceDN w:val="0"/>
        <w:adjustRightInd w:val="0"/>
        <w:ind w:firstLine="708"/>
        <w:jc w:val="both"/>
        <w:rPr>
          <w:color w:val="000000" w:themeColor="text1"/>
        </w:rPr>
      </w:pPr>
      <w:r w:rsidRPr="003D5732">
        <w:rPr>
          <w:color w:val="000000" w:themeColor="text1"/>
        </w:rPr>
        <w:t xml:space="preserve">Stupanjem na snagu ove Odluke prestaje važiti </w:t>
      </w:r>
      <w:r w:rsidR="004776CA" w:rsidRPr="003D5732">
        <w:rPr>
          <w:color w:val="000000" w:themeColor="text1"/>
        </w:rPr>
        <w:t>Odluk</w:t>
      </w:r>
      <w:r w:rsidR="004776CA" w:rsidRPr="003D5732">
        <w:rPr>
          <w:color w:val="000000" w:themeColor="text1"/>
        </w:rPr>
        <w:t>a</w:t>
      </w:r>
      <w:r w:rsidR="004776CA" w:rsidRPr="003D5732">
        <w:rPr>
          <w:color w:val="000000" w:themeColor="text1"/>
        </w:rPr>
        <w:t xml:space="preserve"> o porezima Općine Brinje („Županijski glasnik“ Ličko-senjske županije, broj 31/23)</w:t>
      </w:r>
      <w:r w:rsidR="000219A5" w:rsidRPr="003D5732">
        <w:rPr>
          <w:color w:val="000000" w:themeColor="text1"/>
        </w:rPr>
        <w:t>.</w:t>
      </w:r>
    </w:p>
    <w:p w14:paraId="2C608795" w14:textId="77777777" w:rsidR="00413F80" w:rsidRPr="003D5732" w:rsidRDefault="00413F80" w:rsidP="00413F80">
      <w:pPr>
        <w:autoSpaceDE w:val="0"/>
        <w:autoSpaceDN w:val="0"/>
        <w:adjustRightInd w:val="0"/>
        <w:rPr>
          <w:i/>
          <w:iCs/>
          <w:color w:val="000000" w:themeColor="text1"/>
        </w:rPr>
      </w:pPr>
    </w:p>
    <w:p w14:paraId="043ED238" w14:textId="23C73811" w:rsidR="00413F80" w:rsidRPr="003D5732" w:rsidRDefault="00413F80" w:rsidP="00EE1B56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3D5732">
        <w:rPr>
          <w:color w:val="000000" w:themeColor="text1"/>
        </w:rPr>
        <w:t>Članak 1</w:t>
      </w:r>
      <w:r w:rsidR="006C5CCC" w:rsidRPr="003D5732">
        <w:rPr>
          <w:color w:val="000000" w:themeColor="text1"/>
        </w:rPr>
        <w:t>3</w:t>
      </w:r>
      <w:r w:rsidRPr="003D5732">
        <w:rPr>
          <w:color w:val="000000" w:themeColor="text1"/>
        </w:rPr>
        <w:t>.</w:t>
      </w:r>
    </w:p>
    <w:p w14:paraId="3B3EB454" w14:textId="77777777" w:rsidR="00EE1B56" w:rsidRPr="003D5732" w:rsidRDefault="00EE1B56" w:rsidP="00EE1B56">
      <w:pPr>
        <w:widowControl w:val="0"/>
        <w:kinsoku w:val="0"/>
        <w:overflowPunct w:val="0"/>
        <w:autoSpaceDE w:val="0"/>
        <w:autoSpaceDN w:val="0"/>
        <w:adjustRightInd w:val="0"/>
        <w:ind w:right="52" w:firstLine="720"/>
        <w:jc w:val="both"/>
        <w:rPr>
          <w:color w:val="000000" w:themeColor="text1"/>
        </w:rPr>
      </w:pPr>
      <w:r w:rsidRPr="003D5732">
        <w:rPr>
          <w:color w:val="000000" w:themeColor="text1"/>
        </w:rPr>
        <w:t>Ova odluka dostavit će se Ministarstvu financija, Poreznoj upravi u roku od osam dana od dana njezina donošenja radi objave na mrežnim stranicama Porezne uprave i radi preuzimanja ovlasti za utvrđivanje i naplatu poreza.</w:t>
      </w:r>
    </w:p>
    <w:p w14:paraId="4D963325" w14:textId="77777777" w:rsidR="00EE1B56" w:rsidRPr="003D5732" w:rsidRDefault="00EE1B56" w:rsidP="00EE1B56">
      <w:pPr>
        <w:widowControl w:val="0"/>
        <w:kinsoku w:val="0"/>
        <w:overflowPunct w:val="0"/>
        <w:autoSpaceDE w:val="0"/>
        <w:autoSpaceDN w:val="0"/>
        <w:adjustRightInd w:val="0"/>
        <w:ind w:right="52"/>
        <w:jc w:val="both"/>
        <w:rPr>
          <w:color w:val="000000" w:themeColor="text1"/>
        </w:rPr>
      </w:pPr>
    </w:p>
    <w:p w14:paraId="0A6734A8" w14:textId="27CF67B4" w:rsidR="00EE1B56" w:rsidRPr="003D5732" w:rsidRDefault="00EE1B56" w:rsidP="003611E8">
      <w:pPr>
        <w:widowControl w:val="0"/>
        <w:kinsoku w:val="0"/>
        <w:overflowPunct w:val="0"/>
        <w:autoSpaceDE w:val="0"/>
        <w:autoSpaceDN w:val="0"/>
        <w:adjustRightInd w:val="0"/>
        <w:ind w:right="52"/>
        <w:jc w:val="center"/>
        <w:rPr>
          <w:color w:val="000000" w:themeColor="text1"/>
        </w:rPr>
      </w:pPr>
      <w:r w:rsidRPr="003D5732">
        <w:rPr>
          <w:color w:val="000000" w:themeColor="text1"/>
        </w:rPr>
        <w:t>Članak 1</w:t>
      </w:r>
      <w:r w:rsidR="006C5CCC" w:rsidRPr="003D5732">
        <w:rPr>
          <w:color w:val="000000" w:themeColor="text1"/>
        </w:rPr>
        <w:t>4</w:t>
      </w:r>
      <w:r w:rsidRPr="003D5732">
        <w:rPr>
          <w:color w:val="000000" w:themeColor="text1"/>
        </w:rPr>
        <w:t>.</w:t>
      </w:r>
    </w:p>
    <w:p w14:paraId="3770836E" w14:textId="2395B944" w:rsidR="000219A5" w:rsidRPr="003D5732" w:rsidRDefault="000219A5" w:rsidP="000219A5">
      <w:pPr>
        <w:widowControl w:val="0"/>
        <w:kinsoku w:val="0"/>
        <w:overflowPunct w:val="0"/>
        <w:autoSpaceDE w:val="0"/>
        <w:autoSpaceDN w:val="0"/>
        <w:adjustRightInd w:val="0"/>
        <w:ind w:right="52" w:firstLine="720"/>
        <w:jc w:val="both"/>
        <w:rPr>
          <w:color w:val="000000" w:themeColor="text1"/>
        </w:rPr>
      </w:pPr>
      <w:r w:rsidRPr="003D5732">
        <w:rPr>
          <w:color w:val="000000" w:themeColor="text1"/>
        </w:rPr>
        <w:t xml:space="preserve">Ova Odluka stupa na snagu osmog dana od dana objave u </w:t>
      </w:r>
      <w:r w:rsidR="004776CA" w:rsidRPr="003D5732">
        <w:rPr>
          <w:color w:val="000000" w:themeColor="text1"/>
        </w:rPr>
        <w:t>„Županijsk</w:t>
      </w:r>
      <w:r w:rsidR="004776CA" w:rsidRPr="003D5732">
        <w:rPr>
          <w:color w:val="000000" w:themeColor="text1"/>
        </w:rPr>
        <w:t>om</w:t>
      </w:r>
      <w:r w:rsidR="004776CA" w:rsidRPr="003D5732">
        <w:rPr>
          <w:color w:val="000000" w:themeColor="text1"/>
        </w:rPr>
        <w:t xml:space="preserve"> glasnik</w:t>
      </w:r>
      <w:r w:rsidR="004776CA" w:rsidRPr="003D5732">
        <w:rPr>
          <w:color w:val="000000" w:themeColor="text1"/>
        </w:rPr>
        <w:t>u</w:t>
      </w:r>
      <w:r w:rsidR="004776CA" w:rsidRPr="003D5732">
        <w:rPr>
          <w:color w:val="000000" w:themeColor="text1"/>
        </w:rPr>
        <w:t>“ Ličko-senjske županije</w:t>
      </w:r>
      <w:r w:rsidRPr="003D5732">
        <w:rPr>
          <w:color w:val="000000" w:themeColor="text1"/>
        </w:rPr>
        <w:t xml:space="preserve">. </w:t>
      </w:r>
    </w:p>
    <w:p w14:paraId="0A2F3187" w14:textId="2C6A8F0C" w:rsidR="008C3815" w:rsidRPr="003D5732" w:rsidRDefault="008C3815" w:rsidP="008C3815">
      <w:pPr>
        <w:tabs>
          <w:tab w:val="left" w:pos="5985"/>
        </w:tabs>
        <w:rPr>
          <w:color w:val="000000" w:themeColor="text1"/>
        </w:rPr>
      </w:pPr>
      <w:r w:rsidRPr="003D5732">
        <w:rPr>
          <w:color w:val="000000" w:themeColor="text1"/>
        </w:rPr>
        <w:tab/>
        <w:t xml:space="preserve">    </w:t>
      </w:r>
    </w:p>
    <w:p w14:paraId="49C9AC00" w14:textId="06694B70" w:rsidR="008C3815" w:rsidRPr="003D5732" w:rsidRDefault="004776CA" w:rsidP="004776CA">
      <w:pPr>
        <w:tabs>
          <w:tab w:val="left" w:pos="5985"/>
        </w:tabs>
        <w:ind w:left="5985"/>
        <w:jc w:val="center"/>
        <w:rPr>
          <w:b/>
          <w:color w:val="000000" w:themeColor="text1"/>
        </w:rPr>
      </w:pPr>
      <w:r w:rsidRPr="003D5732">
        <w:rPr>
          <w:b/>
          <w:color w:val="000000" w:themeColor="text1"/>
        </w:rPr>
        <w:t>Predsjednik Općinskog vijeća</w:t>
      </w:r>
    </w:p>
    <w:p w14:paraId="68A77A5E" w14:textId="77777777" w:rsidR="004776CA" w:rsidRPr="003D5732" w:rsidRDefault="004776CA" w:rsidP="004776CA">
      <w:pPr>
        <w:tabs>
          <w:tab w:val="left" w:pos="5985"/>
        </w:tabs>
        <w:ind w:left="5985"/>
        <w:jc w:val="center"/>
        <w:rPr>
          <w:b/>
          <w:color w:val="000000" w:themeColor="text1"/>
        </w:rPr>
      </w:pPr>
    </w:p>
    <w:p w14:paraId="4B53C994" w14:textId="29C6B88D" w:rsidR="004776CA" w:rsidRPr="003D5732" w:rsidRDefault="004776CA" w:rsidP="004776CA">
      <w:pPr>
        <w:tabs>
          <w:tab w:val="left" w:pos="5985"/>
        </w:tabs>
        <w:ind w:left="5985"/>
        <w:jc w:val="center"/>
        <w:rPr>
          <w:b/>
          <w:color w:val="000000" w:themeColor="text1"/>
        </w:rPr>
      </w:pPr>
      <w:r w:rsidRPr="003D5732">
        <w:rPr>
          <w:b/>
          <w:color w:val="000000" w:themeColor="text1"/>
        </w:rPr>
        <w:t xml:space="preserve">Ivan Perković, </w:t>
      </w:r>
      <w:proofErr w:type="spellStart"/>
      <w:r w:rsidRPr="003D5732">
        <w:rPr>
          <w:b/>
          <w:color w:val="000000" w:themeColor="text1"/>
        </w:rPr>
        <w:t>dipl.ing</w:t>
      </w:r>
      <w:proofErr w:type="spellEnd"/>
      <w:r w:rsidRPr="003D5732">
        <w:rPr>
          <w:b/>
          <w:color w:val="000000" w:themeColor="text1"/>
        </w:rPr>
        <w:t>.</w:t>
      </w:r>
    </w:p>
    <w:p w14:paraId="58D85337" w14:textId="77777777" w:rsidR="008C3815" w:rsidRPr="003D5732" w:rsidRDefault="008C3815" w:rsidP="008C3815">
      <w:pPr>
        <w:tabs>
          <w:tab w:val="left" w:pos="5985"/>
        </w:tabs>
        <w:rPr>
          <w:bCs/>
          <w:color w:val="000000" w:themeColor="text1"/>
        </w:rPr>
      </w:pPr>
    </w:p>
    <w:p w14:paraId="224A2E7A" w14:textId="77777777" w:rsidR="008C3815" w:rsidRPr="003D5732" w:rsidRDefault="008C3815">
      <w:pPr>
        <w:rPr>
          <w:color w:val="000000" w:themeColor="text1"/>
        </w:rPr>
      </w:pPr>
    </w:p>
    <w:sectPr w:rsidR="008C3815" w:rsidRPr="003D5732" w:rsidSect="00C81061">
      <w:headerReference w:type="default" r:id="rId8"/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AFB7" w14:textId="77777777" w:rsidR="00686DD3" w:rsidRDefault="00686DD3" w:rsidP="008C3815">
      <w:r>
        <w:separator/>
      </w:r>
    </w:p>
  </w:endnote>
  <w:endnote w:type="continuationSeparator" w:id="0">
    <w:p w14:paraId="7EE8F7B3" w14:textId="77777777" w:rsidR="00686DD3" w:rsidRDefault="00686DD3" w:rsidP="008C3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CC8E3" w14:textId="77777777" w:rsidR="00686DD3" w:rsidRDefault="00686DD3" w:rsidP="008C3815">
      <w:r>
        <w:separator/>
      </w:r>
    </w:p>
  </w:footnote>
  <w:footnote w:type="continuationSeparator" w:id="0">
    <w:p w14:paraId="503A67E1" w14:textId="77777777" w:rsidR="00686DD3" w:rsidRDefault="00686DD3" w:rsidP="008C3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7CD7D" w14:textId="77777777" w:rsidR="008C3815" w:rsidRPr="008C3815" w:rsidRDefault="008C3815" w:rsidP="008C3815">
    <w:pPr>
      <w:pStyle w:val="Zaglavlje"/>
      <w:jc w:val="center"/>
    </w:pPr>
    <w:r w:rsidRPr="008C3815">
      <w:t>NACRT PRIJEDLOGA</w:t>
    </w:r>
  </w:p>
  <w:p w14:paraId="3D919A27" w14:textId="77777777" w:rsidR="008C3815" w:rsidRPr="008C3815" w:rsidRDefault="008C3815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5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5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5" w:hanging="108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5" w:hanging="1080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5" w:hanging="144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5" w:hanging="1440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5" w:hanging="180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68BD6F14"/>
    <w:multiLevelType w:val="hybridMultilevel"/>
    <w:tmpl w:val="52E8F950"/>
    <w:lvl w:ilvl="0" w:tplc="041A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69FF2C74"/>
    <w:multiLevelType w:val="hybridMultilevel"/>
    <w:tmpl w:val="3048BC94"/>
    <w:lvl w:ilvl="0" w:tplc="99AE4C72">
      <w:start w:val="2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num w:numId="1" w16cid:durableId="437068293">
    <w:abstractNumId w:val="0"/>
  </w:num>
  <w:num w:numId="2" w16cid:durableId="1956714465">
    <w:abstractNumId w:val="3"/>
  </w:num>
  <w:num w:numId="3" w16cid:durableId="860585852">
    <w:abstractNumId w:val="1"/>
  </w:num>
  <w:num w:numId="4" w16cid:durableId="2089182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15"/>
    <w:rsid w:val="000219A5"/>
    <w:rsid w:val="00035AB8"/>
    <w:rsid w:val="00050DD4"/>
    <w:rsid w:val="00076596"/>
    <w:rsid w:val="001D25D2"/>
    <w:rsid w:val="00290026"/>
    <w:rsid w:val="003168ED"/>
    <w:rsid w:val="003611E8"/>
    <w:rsid w:val="003829F1"/>
    <w:rsid w:val="0039131F"/>
    <w:rsid w:val="003D5732"/>
    <w:rsid w:val="003E0219"/>
    <w:rsid w:val="003E5CC3"/>
    <w:rsid w:val="003F3A51"/>
    <w:rsid w:val="00413F80"/>
    <w:rsid w:val="00437C84"/>
    <w:rsid w:val="004776CA"/>
    <w:rsid w:val="004D6EC5"/>
    <w:rsid w:val="004E3FBF"/>
    <w:rsid w:val="0050260D"/>
    <w:rsid w:val="005545AD"/>
    <w:rsid w:val="005E7A3A"/>
    <w:rsid w:val="0068268B"/>
    <w:rsid w:val="00686DD3"/>
    <w:rsid w:val="006A2693"/>
    <w:rsid w:val="006B56E0"/>
    <w:rsid w:val="006C5CCC"/>
    <w:rsid w:val="006C7A52"/>
    <w:rsid w:val="00746C39"/>
    <w:rsid w:val="00851199"/>
    <w:rsid w:val="00866EEA"/>
    <w:rsid w:val="008C3815"/>
    <w:rsid w:val="00901E5B"/>
    <w:rsid w:val="009B0EDD"/>
    <w:rsid w:val="009B6F90"/>
    <w:rsid w:val="009E573B"/>
    <w:rsid w:val="00A62F54"/>
    <w:rsid w:val="00A97F38"/>
    <w:rsid w:val="00C22511"/>
    <w:rsid w:val="00C672BE"/>
    <w:rsid w:val="00C81061"/>
    <w:rsid w:val="00C918EC"/>
    <w:rsid w:val="00CA1825"/>
    <w:rsid w:val="00CD00C4"/>
    <w:rsid w:val="00D84CBB"/>
    <w:rsid w:val="00E60544"/>
    <w:rsid w:val="00E81498"/>
    <w:rsid w:val="00E93D46"/>
    <w:rsid w:val="00EA78CF"/>
    <w:rsid w:val="00EE1B56"/>
    <w:rsid w:val="00F1611E"/>
    <w:rsid w:val="00F22064"/>
    <w:rsid w:val="00FE75E0"/>
    <w:rsid w:val="00FF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97E3A"/>
  <w15:chartTrackingRefBased/>
  <w15:docId w15:val="{BE40EB5A-D6E4-4D81-99B3-612E9AFC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5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C38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C38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C38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C38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C38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C38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C38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C38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C38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C38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C38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C38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C3815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C3815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C3815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C3815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C3815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C381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C38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C38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C38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C38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C38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C3815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C3815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C3815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C38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C3815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C3815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uiPriority w:val="99"/>
    <w:rsid w:val="008C38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8C381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C3815"/>
  </w:style>
  <w:style w:type="paragraph" w:styleId="Podnoje">
    <w:name w:val="footer"/>
    <w:basedOn w:val="Normal"/>
    <w:link w:val="PodnojeChar"/>
    <w:uiPriority w:val="99"/>
    <w:unhideWhenUsed/>
    <w:rsid w:val="008C381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C3815"/>
  </w:style>
  <w:style w:type="paragraph" w:customStyle="1" w:styleId="Bezproreda1">
    <w:name w:val="Bez proreda1"/>
    <w:uiPriority w:val="1"/>
    <w:qFormat/>
    <w:rsid w:val="008C3815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Bezproreda">
    <w:name w:val="No Spacing"/>
    <w:qFormat/>
    <w:rsid w:val="0039131F"/>
    <w:pPr>
      <w:suppressAutoHyphens/>
      <w:spacing w:after="0" w:line="240" w:lineRule="auto"/>
    </w:pPr>
    <w:rPr>
      <w:rFonts w:ascii="Calibri" w:eastAsia="Times New Roman" w:hAnsi="Calibri" w:cs="Times New Roman"/>
      <w:kern w:val="0"/>
      <w:lang w:eastAsia="zh-CN"/>
      <w14:ligatures w14:val="none"/>
    </w:rPr>
  </w:style>
  <w:style w:type="paragraph" w:styleId="StandardWeb">
    <w:name w:val="Normal (Web)"/>
    <w:basedOn w:val="Normal"/>
    <w:rsid w:val="00C81061"/>
    <w:pPr>
      <w:suppressAutoHyphens/>
      <w:spacing w:before="280" w:after="280"/>
    </w:pPr>
    <w:rPr>
      <w:lang w:eastAsia="zh-CN"/>
    </w:rPr>
  </w:style>
  <w:style w:type="paragraph" w:customStyle="1" w:styleId="Bezproreda8">
    <w:name w:val="Bez proreda8"/>
    <w:rsid w:val="00C81061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9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9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1229</Words>
  <Characters>7006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Ivica Perković</cp:lastModifiedBy>
  <cp:revision>10</cp:revision>
  <dcterms:created xsi:type="dcterms:W3CDTF">2025-02-05T07:05:00Z</dcterms:created>
  <dcterms:modified xsi:type="dcterms:W3CDTF">2025-02-05T07:57:00Z</dcterms:modified>
</cp:coreProperties>
</file>