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4A3EA0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4A3EA0" w:rsidRDefault="00EE73EA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4A3EA0" w:rsidRDefault="00EE73EA">
            <w:pPr>
              <w:spacing w:after="0" w:line="240" w:lineRule="auto"/>
            </w:pPr>
            <w:r>
              <w:t>26643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4A3EA0" w:rsidRDefault="00EE73EA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4A3EA0" w:rsidRDefault="00EE73EA">
            <w:pPr>
              <w:spacing w:after="0" w:line="240" w:lineRule="auto"/>
            </w:pPr>
            <w:r>
              <w:t>OPĆINA BRINJE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4A3EA0" w:rsidRDefault="00EE73EA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4A3EA0" w:rsidRDefault="00EE73EA">
            <w:pPr>
              <w:spacing w:after="0" w:line="240" w:lineRule="auto"/>
            </w:pPr>
            <w:r>
              <w:t>22</w:t>
            </w:r>
          </w:p>
        </w:tc>
      </w:tr>
    </w:tbl>
    <w:p w:rsidR="004A3EA0" w:rsidRDefault="00EE73EA">
      <w:r>
        <w:br/>
      </w:r>
    </w:p>
    <w:p w:rsidR="004A3EA0" w:rsidRDefault="00EE73EA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4A3EA0" w:rsidRDefault="00EE73EA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4A3EA0" w:rsidRDefault="00EE73EA">
      <w:pPr>
        <w:spacing w:line="240" w:lineRule="auto"/>
        <w:jc w:val="center"/>
      </w:pPr>
      <w:r>
        <w:rPr>
          <w:b/>
          <w:sz w:val="28"/>
        </w:rPr>
        <w:t>I - IX 2026.</w:t>
      </w:r>
    </w:p>
    <w:p w:rsidR="004A3EA0" w:rsidRDefault="004A3EA0"/>
    <w:p w:rsidR="004A3EA0" w:rsidRDefault="00EE73EA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4A3EA0" w:rsidRDefault="00EE73EA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A3E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2.313.384,87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2.093.120,69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90,5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1.400.855,21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1.495.808,06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106,8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4A3EA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912.529,66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597.312,63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65,5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17.504,94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32.600,00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186,2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1.234.284,73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857.563,05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69,5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4A3EA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1.216.779,79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824.963,05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67,8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106.316,20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282,2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Izdaci za financijsku imovinu i otplate zajmova </w:t>
            </w:r>
            <w:r>
              <w:rPr>
                <w:sz w:val="18"/>
              </w:rPr>
              <w:t>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36.037,42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269.370,72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747,5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4A3EA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70.278,78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30.629,28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43,6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4A3EA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233.971,35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197.021,14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84,2</w:t>
            </w:r>
          </w:p>
        </w:tc>
      </w:tr>
    </w:tbl>
    <w:p w:rsidR="004A3EA0" w:rsidRDefault="004A3EA0">
      <w:pPr>
        <w:spacing w:after="0"/>
      </w:pPr>
    </w:p>
    <w:p w:rsidR="004A3EA0" w:rsidRDefault="00EE73EA">
      <w:r>
        <w:t xml:space="preserve">Ukupni prihodi poslovanja šifra 6 ostvareni su u iznosu od 2.093.120,69 EUR za razdoblje od 01.01.-30.09.2026. godine. Ukupni rashodi poslovanja šifra 3 ostvareni su u iznosu od 1.495.808,06 EUR. Ukupni prihodi od prodaje </w:t>
      </w:r>
      <w:r>
        <w:t>nefinancijske imovine šifra 7 ostva</w:t>
      </w:r>
      <w:r>
        <w:t>reni su u iznosu 32.600,00 EUR. Ukupni rashodi za nabavu nefinancijske imovine šifra 4 ostvareni su u iznosu od 857.563,05 EUR. Ukupni primici od financijske imovine i zaduživanja šifra 8 iznose 300.000,00 EUR, te se navedeni prihod odnosi na kratkoročno z</w:t>
      </w:r>
      <w:r>
        <w:t xml:space="preserve">aduživanje. Ukupni izdaci za financijsku imovinu i otplate zajmova šifra 5 iznosi 269.370,72 EUR. Otplata </w:t>
      </w:r>
      <w:r>
        <w:lastRenderedPageBreak/>
        <w:t>kratkoročnog kredita iznosi 225.000,00 EUR i otplata dugoročnog kredita iznosi  44.370,72 EUR. Manjak prihoda i primitaka šifra Y005 iznosi 197.021,14</w:t>
      </w:r>
      <w:r>
        <w:t xml:space="preserve"> EUR. Prihodi poslovanja šifra 611 su veći u odnosu na prošlu godinu za isto razdoblje jer je veći broj zaposlenih osoba na području općine Brinje a time je i veći porez na dohodak. Pomoći </w:t>
      </w:r>
      <w:r>
        <w:t>iz inozemstva i od subjekata unutar općeg proračuna šifra 63 su ma</w:t>
      </w:r>
      <w:r>
        <w:t>nji u odnosu na prošlu godinu budući da nisu realizirani prihodi po započetim projektima već se prihodi od pomoći očekuju do kraja godine. prihodi od imovine šifra 64 su također manji u odnosu na pret</w:t>
      </w:r>
      <w:r>
        <w:t xml:space="preserve">hodnu godinu te se realizacija očekuje do kraja godine, </w:t>
      </w:r>
      <w:r>
        <w:t>tj. u zadnjem kvartalu 2026. godine. Prihodi od upravnih i administrativnih pristojbi su manji u tekućoj godini kao npr. šumski doprinos, ostali nespomenuti prihodi i dr.  Rashodi poslovanja šifra 3 su veći u odnosu na prošlu godinu budući da su poskupjeli</w:t>
      </w:r>
      <w:r>
        <w:t xml:space="preserve"> režijski troškovi, struja gorivo i drugi materijalni troškovi. Prijenosi proračunskim korisnicima šifra 367 su također veći zbog većeg broja zaposlenih u Dječjem vrtiću i veći broj djece pohađa vrtić. Naknade građanima i kućanstvima šifra 37 su veći u odn</w:t>
      </w:r>
      <w:r>
        <w:t xml:space="preserve">osu na prošlu godinu iz razloga što je više sredstava isplaćivano socijalnim slučajevima poput </w:t>
      </w:r>
      <w:proofErr w:type="spellStart"/>
      <w:r>
        <w:t>Us</w:t>
      </w:r>
      <w:r>
        <w:t>krsnica</w:t>
      </w:r>
      <w:proofErr w:type="spellEnd"/>
      <w:r>
        <w:t xml:space="preserve">, i jednokratnih pomoći građanima. Rashodi za donacije, kazne, naknade šteta i kapitalne pomoći šifra 38 su veće u odnosu na prošlu godinu jer je bilo </w:t>
      </w:r>
      <w:r>
        <w:t>više Udruga i korisnika kapitalnih pomoći. Prihodi od prodaje nefinancijske imovine šifra 7 ostvareni su više za 15.095,06 EUR u tekućoj godini, odnosno 86,20 % više. Rashodi za nabavu nefinancijske imovine šifra 4 ostvareni su manje u odnosu na prošlu god</w:t>
      </w:r>
      <w:r>
        <w:t>inu u iznosu od 248.130,18 EUR, budući da nisu realizirani namjenski prihodi za komunalnu infrastrukturu u pret</w:t>
      </w:r>
      <w:r>
        <w:t>hodna 3 kvartala. Prihodi od financijske imovine i zaduživanja šifra 8 ostvareni su u iznosu od 300.000,00 EUR, a odnosi se na kratkoročno zaduži</w:t>
      </w:r>
      <w:r>
        <w:t>vanje. Izdaci za financijsku imovinu i otplate zajmova šifra 5 realizirano je u iznosu od 269.370,72 EUR i veće je u odnosu na prošlu godinu iz razloga što je otplaćivan kratkoro</w:t>
      </w:r>
      <w:r>
        <w:t>čni kred</w:t>
      </w:r>
      <w:r>
        <w:t xml:space="preserve">it u iznosu od 225.000,00 EUR a ostali iznos sredstava od 44.370,72 EUR </w:t>
      </w:r>
      <w:r>
        <w:t>odnosi se na otplate dugoročnih kredita.</w:t>
      </w:r>
    </w:p>
    <w:p w:rsidR="004A3EA0" w:rsidRDefault="00EE73EA" w:rsidP="00EE73EA">
      <w:pPr>
        <w:jc w:val="center"/>
      </w:pPr>
      <w:bookmarkStart w:id="0" w:name="_GoBack"/>
      <w:bookmarkEnd w:id="0"/>
      <w:r>
        <w:rPr>
          <w:b/>
          <w:sz w:val="28"/>
        </w:rPr>
        <w:t>Izvještaj o obvezama</w:t>
      </w:r>
    </w:p>
    <w:p w:rsidR="004A3EA0" w:rsidRDefault="00EE73EA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4A3E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A3EA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4A3EA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894.352,96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A3EA0" w:rsidRDefault="00EE73E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4A3EA0" w:rsidRDefault="004A3EA0">
      <w:pPr>
        <w:spacing w:after="0"/>
      </w:pPr>
    </w:p>
    <w:p w:rsidR="004A3EA0" w:rsidRDefault="00EE73EA">
      <w:r>
        <w:t>Stanje dospjelih obveza na kraju izvještajnog razdoblje šifra V007 iznosi 894.352,96 EUR.</w:t>
      </w:r>
    </w:p>
    <w:p w:rsidR="004A3EA0" w:rsidRDefault="004A3EA0"/>
    <w:p w:rsidR="004A3EA0" w:rsidRDefault="00EE73EA">
      <w:pPr>
        <w:keepNext/>
        <w:spacing w:line="240" w:lineRule="auto"/>
        <w:jc w:val="center"/>
      </w:pPr>
      <w:r>
        <w:rPr>
          <w:sz w:val="28"/>
        </w:rPr>
        <w:t>Bilješka 3.</w:t>
      </w:r>
    </w:p>
    <w:p w:rsidR="004A3EA0" w:rsidRDefault="00EE73EA">
      <w:pPr>
        <w:spacing w:line="240" w:lineRule="auto"/>
        <w:jc w:val="both"/>
      </w:pPr>
      <w:r>
        <w:rPr>
          <w:b/>
        </w:rPr>
        <w:t>EU izvještaj</w:t>
      </w:r>
    </w:p>
    <w:p w:rsidR="004A3EA0" w:rsidRDefault="00EE73EA">
      <w:r>
        <w:t>Ukupni prihodi šifra 638 za program Zaželi iznosi 168.521,82 EUR. Ukupni izdaci šifra 3 iznose 114.957,73 EUR. Šifra 311 plaće iznosi 93.699,94 EUR, šifra 313 doprinosi na plaće iznosi 15.460,54 EUR, šifra 321 naknade troškova zaposlenima iznosi 944,00 EUR</w:t>
      </w:r>
      <w:r>
        <w:t xml:space="preserve"> i Rashodi za mater</w:t>
      </w:r>
      <w:r>
        <w:t>ijal i energiju šifra 322 iznosi 4.853,25 EUR.</w:t>
      </w:r>
    </w:p>
    <w:p w:rsidR="004A3EA0" w:rsidRDefault="004A3EA0"/>
    <w:sectPr w:rsidR="004A3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3EA0"/>
    <w:rsid w:val="004A3EA0"/>
    <w:rsid w:val="00EE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F00D3"/>
  <w15:docId w15:val="{3C10FA37-286F-46A2-A1F7-34E0C964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Općina Brinje</cp:lastModifiedBy>
  <cp:revision>2</cp:revision>
  <cp:lastPrinted>2026-10-13T11:41:00Z</cp:lastPrinted>
  <dcterms:created xsi:type="dcterms:W3CDTF">2026-10-13T11:41:00Z</dcterms:created>
  <dcterms:modified xsi:type="dcterms:W3CDTF">2026-10-13T11:43:00Z</dcterms:modified>
</cp:coreProperties>
</file>